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765" w:rsidRPr="00740DFB" w:rsidRDefault="009460A2">
      <w:pPr>
        <w:rPr>
          <w:rFonts w:ascii="Arial Narrow" w:hAnsi="Arial Narrow"/>
          <w:sz w:val="16"/>
          <w:szCs w:val="16"/>
        </w:rPr>
      </w:pPr>
      <w:r w:rsidRPr="00740DFB">
        <w:rPr>
          <w:rFonts w:ascii="Arial Narrow" w:hAnsi="Arial Narrow"/>
          <w:sz w:val="16"/>
          <w:szCs w:val="16"/>
        </w:rPr>
        <w:t>December 1</w:t>
      </w:r>
      <w:r w:rsidR="00A961F3" w:rsidRPr="00740DFB">
        <w:rPr>
          <w:rFonts w:ascii="Arial Narrow" w:hAnsi="Arial Narrow"/>
          <w:sz w:val="16"/>
          <w:szCs w:val="16"/>
        </w:rPr>
        <w:t>5</w:t>
      </w:r>
      <w:r w:rsidR="003A612E" w:rsidRPr="00740DFB">
        <w:rPr>
          <w:rFonts w:ascii="Arial Narrow" w:hAnsi="Arial Narrow"/>
          <w:sz w:val="16"/>
          <w:szCs w:val="16"/>
        </w:rPr>
        <w:t>, 2016</w:t>
      </w:r>
    </w:p>
    <w:p w:rsidR="003A612E" w:rsidRPr="00740DFB" w:rsidRDefault="003A612E">
      <w:pPr>
        <w:rPr>
          <w:sz w:val="16"/>
          <w:szCs w:val="16"/>
        </w:rPr>
      </w:pPr>
    </w:p>
    <w:p w:rsidR="00460998" w:rsidRPr="00740DFB" w:rsidRDefault="00A961F3" w:rsidP="00460998">
      <w:pPr>
        <w:rPr>
          <w:rFonts w:ascii="Arial Narrow" w:hAnsi="Arial Narrow"/>
          <w:b/>
          <w:sz w:val="16"/>
          <w:szCs w:val="16"/>
        </w:rPr>
      </w:pPr>
      <w:r w:rsidRPr="00740DFB">
        <w:rPr>
          <w:rFonts w:ascii="Arial Narrow" w:hAnsi="Arial Narrow"/>
          <w:b/>
          <w:sz w:val="16"/>
          <w:szCs w:val="16"/>
        </w:rPr>
        <w:t>Addendum I</w:t>
      </w:r>
    </w:p>
    <w:p w:rsidR="00460998" w:rsidRPr="00740DFB" w:rsidRDefault="00460998" w:rsidP="00460998">
      <w:pPr>
        <w:rPr>
          <w:rFonts w:ascii="Arial Narrow" w:hAnsi="Arial Narrow"/>
          <w:b/>
          <w:sz w:val="16"/>
          <w:szCs w:val="16"/>
        </w:rPr>
      </w:pPr>
    </w:p>
    <w:p w:rsidR="00A961F3" w:rsidRPr="00740DFB" w:rsidRDefault="00460998" w:rsidP="00460998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Grand Valley State University </w:t>
      </w:r>
      <w:r w:rsidR="00113FE9" w:rsidRPr="00740DFB">
        <w:rPr>
          <w:rFonts w:ascii="Arial Narrow" w:hAnsi="Arial Narrow" w:cs="Segoe UI"/>
          <w:b/>
          <w:sz w:val="16"/>
          <w:szCs w:val="16"/>
        </w:rPr>
        <w:t xml:space="preserve">(GVSU) </w:t>
      </w:r>
      <w:r w:rsidR="00A961F3" w:rsidRPr="00740DFB">
        <w:rPr>
          <w:rFonts w:ascii="Arial Narrow" w:hAnsi="Arial Narrow" w:cs="Segoe UI"/>
          <w:b/>
          <w:sz w:val="16"/>
          <w:szCs w:val="16"/>
        </w:rPr>
        <w:t xml:space="preserve">has issued the following addendum </w:t>
      </w:r>
      <w:r w:rsidR="00DA2641">
        <w:rPr>
          <w:rFonts w:ascii="Arial Narrow" w:hAnsi="Arial Narrow" w:cs="Segoe UI"/>
          <w:b/>
          <w:sz w:val="16"/>
          <w:szCs w:val="16"/>
        </w:rPr>
        <w:t xml:space="preserve">to our </w:t>
      </w:r>
      <w:r w:rsidR="00113FE9" w:rsidRPr="00740DFB">
        <w:rPr>
          <w:rFonts w:ascii="Arial Narrow" w:hAnsi="Arial Narrow" w:cs="Segoe UI"/>
          <w:b/>
          <w:sz w:val="16"/>
          <w:szCs w:val="16"/>
        </w:rPr>
        <w:t>request for proposal #21</w:t>
      </w:r>
      <w:r w:rsidR="003A612E" w:rsidRPr="00740DFB">
        <w:rPr>
          <w:rFonts w:ascii="Arial Narrow" w:hAnsi="Arial Narrow" w:cs="Segoe UI"/>
          <w:b/>
          <w:sz w:val="16"/>
          <w:szCs w:val="16"/>
        </w:rPr>
        <w:t>7</w:t>
      </w:r>
      <w:r w:rsidR="00113FE9" w:rsidRPr="00740DFB">
        <w:rPr>
          <w:rFonts w:ascii="Arial Narrow" w:hAnsi="Arial Narrow" w:cs="Segoe UI"/>
          <w:b/>
          <w:sz w:val="16"/>
          <w:szCs w:val="16"/>
        </w:rPr>
        <w:t>-</w:t>
      </w:r>
      <w:r w:rsidR="003A612E" w:rsidRPr="00740DFB">
        <w:rPr>
          <w:rFonts w:ascii="Arial Narrow" w:hAnsi="Arial Narrow" w:cs="Segoe UI"/>
          <w:b/>
          <w:sz w:val="16"/>
          <w:szCs w:val="16"/>
        </w:rPr>
        <w:t>2</w:t>
      </w:r>
      <w:r w:rsidR="009460A2" w:rsidRPr="00740DFB">
        <w:rPr>
          <w:rFonts w:ascii="Arial Narrow" w:hAnsi="Arial Narrow" w:cs="Segoe UI"/>
          <w:b/>
          <w:sz w:val="16"/>
          <w:szCs w:val="16"/>
        </w:rPr>
        <w:t>8</w:t>
      </w:r>
      <w:r w:rsidR="003A612E" w:rsidRPr="00740DFB">
        <w:rPr>
          <w:rFonts w:ascii="Arial Narrow" w:hAnsi="Arial Narrow" w:cs="Segoe UI"/>
          <w:b/>
          <w:sz w:val="16"/>
          <w:szCs w:val="16"/>
        </w:rPr>
        <w:t xml:space="preserve">. </w:t>
      </w:r>
      <w:r w:rsidR="00740DFB" w:rsidRPr="00740DFB">
        <w:rPr>
          <w:rFonts w:ascii="Arial Narrow" w:hAnsi="Arial Narrow" w:cs="Segoe UI"/>
          <w:b/>
          <w:sz w:val="16"/>
          <w:szCs w:val="16"/>
        </w:rPr>
        <w:t>Reference additional option in Red</w:t>
      </w:r>
      <w:r w:rsidR="00DA2641">
        <w:rPr>
          <w:rFonts w:ascii="Arial Narrow" w:hAnsi="Arial Narrow" w:cs="Segoe UI"/>
          <w:b/>
          <w:sz w:val="16"/>
          <w:szCs w:val="16"/>
        </w:rPr>
        <w:t>: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Option 3</w:t>
      </w:r>
      <w:r w:rsidR="00DA2641">
        <w:rPr>
          <w:rFonts w:ascii="Arial Narrow" w:hAnsi="Arial Narrow" w:cs="Segoe UI"/>
          <w:b/>
          <w:sz w:val="16"/>
          <w:szCs w:val="16"/>
        </w:rPr>
        <w:t xml:space="preserve">. </w:t>
      </w:r>
      <w:r w:rsidR="00DA2641" w:rsidRPr="00DA2641">
        <w:rPr>
          <w:rFonts w:ascii="Arial Narrow" w:hAnsi="Arial Narrow" w:cs="Segoe UI"/>
          <w:b/>
          <w:color w:val="FF0000"/>
          <w:sz w:val="16"/>
          <w:szCs w:val="16"/>
        </w:rPr>
        <w:t>Please record pricing information on this form and on page two for the original bid document.</w:t>
      </w:r>
    </w:p>
    <w:p w:rsidR="00B82953" w:rsidRPr="00740DFB" w:rsidRDefault="00B82953" w:rsidP="00460998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>Note to Bidders: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>Grand Valley State University (GVSU) is considering purchasing one of the following combinations of Licenses and Maintenance for Oracle Fusion Middleware, depending on cost. Please provide quotes for both options.</w:t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  <w:u w:val="single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>Option 1</w:t>
      </w:r>
      <w:r w:rsidRPr="00740DFB">
        <w:rPr>
          <w:rFonts w:ascii="Arial Narrow" w:hAnsi="Arial Narrow" w:cs="Segoe UI"/>
          <w:b/>
          <w:sz w:val="16"/>
          <w:szCs w:val="16"/>
        </w:rPr>
        <w:br/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  Oracle Fusion Middleware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  <w:t xml:space="preserve">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                    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Unit Price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Extended Price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                                                                                                     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  <w:u w:val="single"/>
        </w:rPr>
      </w:pPr>
      <w:r w:rsidRPr="00740DFB">
        <w:rPr>
          <w:rFonts w:ascii="Arial Narrow" w:hAnsi="Arial Narrow" w:cs="Segoe UI"/>
          <w:sz w:val="16"/>
          <w:szCs w:val="16"/>
          <w:u w:val="single"/>
        </w:rPr>
        <w:t>QTY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</w:t>
      </w:r>
      <w:r w:rsidRPr="00740DFB">
        <w:rPr>
          <w:rFonts w:ascii="Arial Narrow" w:hAnsi="Arial Narrow" w:cs="Segoe UI"/>
          <w:sz w:val="16"/>
          <w:szCs w:val="16"/>
          <w:u w:val="single"/>
        </w:rPr>
        <w:t>Description &amp; Item Number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3 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Oracle Fusion Middleware Processor Perpetual Licenses   </w:t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        </w:t>
      </w:r>
      <w:r w:rsidRPr="00740DFB">
        <w:rPr>
          <w:rFonts w:ascii="Arial Narrow" w:hAnsi="Arial Narrow" w:cs="Segoe UI"/>
          <w:sz w:val="16"/>
          <w:szCs w:val="16"/>
        </w:rPr>
        <w:t xml:space="preserve"> Including Weblogic and Oracle Forms - </w:t>
      </w:r>
      <w:r w:rsidRPr="00740DFB">
        <w:rPr>
          <w:rFonts w:ascii="Arial Narrow" w:hAnsi="Arial Narrow" w:cs="Segoe UI"/>
          <w:b/>
          <w:sz w:val="16"/>
          <w:szCs w:val="16"/>
        </w:rPr>
        <w:t>new licenses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including 1 year of maintenance and support</w:t>
      </w:r>
      <w:r w:rsidRPr="00740DFB">
        <w:rPr>
          <w:rFonts w:ascii="Arial Narrow" w:hAnsi="Arial Narrow" w:cs="Segoe UI"/>
          <w:b/>
          <w:sz w:val="16"/>
          <w:szCs w:val="16"/>
        </w:rPr>
        <w:tab/>
        <w:t xml:space="preserve">         </w:t>
      </w:r>
      <w:r w:rsidRPr="00740DFB">
        <w:rPr>
          <w:rFonts w:ascii="Arial Narrow" w:hAnsi="Arial Narrow" w:cs="Segoe UI"/>
          <w:sz w:val="16"/>
          <w:szCs w:val="16"/>
        </w:rPr>
        <w:t xml:space="preserve">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          </w:t>
      </w:r>
      <w:r w:rsidR="00740DFB">
        <w:rPr>
          <w:rFonts w:ascii="Arial Narrow" w:hAnsi="Arial Narrow" w:cs="Segoe UI"/>
          <w:sz w:val="16"/>
          <w:szCs w:val="16"/>
        </w:rPr>
        <w:t xml:space="preserve">       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</w:t>
      </w:r>
      <w:r w:rsidRPr="00740DFB">
        <w:rPr>
          <w:rFonts w:ascii="Arial Narrow" w:hAnsi="Arial Narrow" w:cs="Segoe UI"/>
          <w:sz w:val="16"/>
          <w:szCs w:val="16"/>
        </w:rPr>
        <w:t xml:space="preserve">__________     ____________                              </w:t>
      </w:r>
    </w:p>
    <w:p w:rsidR="00993A2E" w:rsidRPr="00740DFB" w:rsidRDefault="00740DFB" w:rsidP="00993A2E">
      <w:pPr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sz w:val="16"/>
          <w:szCs w:val="16"/>
        </w:rPr>
        <w:t xml:space="preserve">   </w:t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7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Oracle Fusion Middleware </w:t>
      </w:r>
      <w:r w:rsidRPr="00740DFB">
        <w:rPr>
          <w:rFonts w:ascii="Arial Narrow" w:hAnsi="Arial Narrow" w:cs="Segoe UI"/>
          <w:b/>
          <w:sz w:val="16"/>
          <w:szCs w:val="16"/>
        </w:rPr>
        <w:t>Maintenance and Support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only</w:t>
      </w:r>
      <w:r w:rsidRPr="00740DFB">
        <w:rPr>
          <w:rFonts w:ascii="Arial Narrow" w:hAnsi="Arial Narrow" w:cs="Segoe UI"/>
          <w:sz w:val="16"/>
          <w:szCs w:val="16"/>
        </w:rPr>
        <w:t xml:space="preserve"> for existing Processor Licenses (Including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sz w:val="16"/>
          <w:szCs w:val="16"/>
        </w:rPr>
        <w:t xml:space="preserve">Weblogic and Oracle Forms) for 1 year.   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             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</w:t>
      </w:r>
      <w:r w:rsidR="00740DFB">
        <w:rPr>
          <w:rFonts w:ascii="Arial Narrow" w:hAnsi="Arial Narrow" w:cs="Segoe UI"/>
          <w:sz w:val="16"/>
          <w:szCs w:val="16"/>
        </w:rPr>
        <w:t xml:space="preserve">           </w:t>
      </w:r>
      <w:r w:rsidRPr="00740DFB">
        <w:rPr>
          <w:rFonts w:ascii="Arial Narrow" w:hAnsi="Arial Narrow" w:cs="Segoe UI"/>
          <w:sz w:val="16"/>
          <w:szCs w:val="16"/>
        </w:rPr>
        <w:t xml:space="preserve">  __________      ____________                   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>Option 2</w:t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  Oracle Fusion Middleware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ab/>
        <w:t xml:space="preserve">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                    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Unit Price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</w:t>
      </w:r>
      <w:r w:rsidRPr="00740DFB">
        <w:rPr>
          <w:rFonts w:ascii="Arial Narrow" w:hAnsi="Arial Narrow" w:cs="Segoe UI"/>
          <w:b/>
          <w:sz w:val="16"/>
          <w:szCs w:val="16"/>
          <w:u w:val="single"/>
        </w:rPr>
        <w:t xml:space="preserve">Extended Price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                                                                                                          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                                                      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  <w:u w:val="single"/>
        </w:rPr>
      </w:pPr>
      <w:r w:rsidRPr="00740DFB">
        <w:rPr>
          <w:rFonts w:ascii="Arial Narrow" w:hAnsi="Arial Narrow" w:cs="Segoe UI"/>
          <w:sz w:val="16"/>
          <w:szCs w:val="16"/>
          <w:u w:val="single"/>
        </w:rPr>
        <w:t>QTY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</w:t>
      </w:r>
      <w:r w:rsidRPr="00740DFB">
        <w:rPr>
          <w:rFonts w:ascii="Arial Narrow" w:hAnsi="Arial Narrow" w:cs="Segoe UI"/>
          <w:sz w:val="16"/>
          <w:szCs w:val="16"/>
          <w:u w:val="single"/>
        </w:rPr>
        <w:t>Description &amp; Item Number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5 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Oracle Fusion Middleware Processor Perpetual Licenses   </w:t>
      </w: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        </w:t>
      </w:r>
      <w:r w:rsidRPr="00740DFB">
        <w:rPr>
          <w:rFonts w:ascii="Arial Narrow" w:hAnsi="Arial Narrow" w:cs="Segoe UI"/>
          <w:sz w:val="16"/>
          <w:szCs w:val="16"/>
        </w:rPr>
        <w:t xml:space="preserve">Including Weblogic and Oracle Forms - </w:t>
      </w:r>
      <w:r w:rsidRPr="00740DFB">
        <w:rPr>
          <w:rFonts w:ascii="Arial Narrow" w:hAnsi="Arial Narrow" w:cs="Segoe UI"/>
          <w:b/>
          <w:sz w:val="16"/>
          <w:szCs w:val="16"/>
        </w:rPr>
        <w:t>new licenses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b/>
          <w:sz w:val="16"/>
          <w:szCs w:val="16"/>
        </w:rPr>
        <w:t xml:space="preserve">  including 1 year maintenance and support</w:t>
      </w:r>
      <w:r w:rsidRPr="00740DFB">
        <w:rPr>
          <w:rFonts w:ascii="Arial Narrow" w:hAnsi="Arial Narrow" w:cs="Segoe UI"/>
          <w:b/>
          <w:sz w:val="16"/>
          <w:szCs w:val="16"/>
        </w:rPr>
        <w:tab/>
        <w:t xml:space="preserve">    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              </w:t>
      </w:r>
      <w:r w:rsidR="00740DFB">
        <w:rPr>
          <w:rFonts w:ascii="Arial Narrow" w:hAnsi="Arial Narrow" w:cs="Segoe UI"/>
          <w:b/>
          <w:sz w:val="16"/>
          <w:szCs w:val="16"/>
        </w:rPr>
        <w:t xml:space="preserve">        </w:t>
      </w:r>
      <w:r w:rsidRPr="00740DFB">
        <w:rPr>
          <w:rFonts w:ascii="Arial Narrow" w:hAnsi="Arial Narrow" w:cs="Segoe UI"/>
          <w:sz w:val="16"/>
          <w:szCs w:val="16"/>
        </w:rPr>
        <w:t xml:space="preserve"> __________     ____________                             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93A2E">
      <w:pPr>
        <w:rPr>
          <w:rFonts w:ascii="Arial Narrow" w:hAnsi="Arial Narrow" w:cs="Segoe UI"/>
          <w:b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7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Oracle Fusion Middleware </w:t>
      </w:r>
      <w:r w:rsidRPr="00740DFB">
        <w:rPr>
          <w:rFonts w:ascii="Arial Narrow" w:hAnsi="Arial Narrow" w:cs="Segoe UI"/>
          <w:b/>
          <w:sz w:val="16"/>
          <w:szCs w:val="16"/>
        </w:rPr>
        <w:t>Maintenance and Support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     </w:t>
      </w:r>
      <w:r w:rsidR="00740DFB" w:rsidRPr="00740DFB">
        <w:rPr>
          <w:rFonts w:ascii="Arial Narrow" w:hAnsi="Arial Narrow" w:cs="Segoe UI"/>
          <w:b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b/>
          <w:sz w:val="16"/>
          <w:szCs w:val="16"/>
        </w:rPr>
        <w:t>only</w:t>
      </w:r>
      <w:r w:rsidRPr="00740DFB">
        <w:rPr>
          <w:rFonts w:ascii="Arial Narrow" w:hAnsi="Arial Narrow" w:cs="Segoe UI"/>
          <w:sz w:val="16"/>
          <w:szCs w:val="16"/>
        </w:rPr>
        <w:t xml:space="preserve"> for existing Processor Licenses (Including </w:t>
      </w:r>
    </w:p>
    <w:p w:rsidR="00993A2E" w:rsidRPr="00740DFB" w:rsidRDefault="00993A2E" w:rsidP="00993A2E">
      <w:pPr>
        <w:rPr>
          <w:rFonts w:ascii="Arial Narrow" w:hAnsi="Arial Narrow" w:cs="Segoe UI"/>
          <w:sz w:val="16"/>
          <w:szCs w:val="16"/>
        </w:rPr>
      </w:pPr>
      <w:r w:rsidRPr="00740DFB">
        <w:rPr>
          <w:rFonts w:ascii="Arial Narrow" w:hAnsi="Arial Narrow" w:cs="Segoe UI"/>
          <w:sz w:val="16"/>
          <w:szCs w:val="16"/>
        </w:rPr>
        <w:t xml:space="preserve">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         </w:t>
      </w:r>
      <w:r w:rsidRPr="00740DFB">
        <w:rPr>
          <w:rFonts w:ascii="Arial Narrow" w:hAnsi="Arial Narrow" w:cs="Segoe UI"/>
          <w:sz w:val="16"/>
          <w:szCs w:val="16"/>
        </w:rPr>
        <w:t xml:space="preserve">  Weblogic and Oracle Forms) for 1 year.   </w:t>
      </w:r>
      <w:r w:rsidRPr="00740DFB">
        <w:rPr>
          <w:rFonts w:ascii="Arial Narrow" w:hAnsi="Arial Narrow" w:cs="Segoe UI"/>
          <w:sz w:val="16"/>
          <w:szCs w:val="16"/>
        </w:rPr>
        <w:tab/>
        <w:t xml:space="preserve">                      </w:t>
      </w:r>
      <w:r w:rsidR="00740DFB" w:rsidRPr="00740DFB">
        <w:rPr>
          <w:rFonts w:ascii="Arial Narrow" w:hAnsi="Arial Narrow" w:cs="Segoe UI"/>
          <w:sz w:val="16"/>
          <w:szCs w:val="16"/>
        </w:rPr>
        <w:t xml:space="preserve">    </w:t>
      </w:r>
      <w:r w:rsidR="00740DFB">
        <w:rPr>
          <w:rFonts w:ascii="Arial Narrow" w:hAnsi="Arial Narrow" w:cs="Segoe UI"/>
          <w:sz w:val="16"/>
          <w:szCs w:val="16"/>
        </w:rPr>
        <w:t xml:space="preserve">         </w:t>
      </w:r>
      <w:r w:rsidRPr="00740DFB">
        <w:rPr>
          <w:rFonts w:ascii="Arial Narrow" w:hAnsi="Arial Narrow" w:cs="Segoe UI"/>
          <w:sz w:val="16"/>
          <w:szCs w:val="16"/>
        </w:rPr>
        <w:t xml:space="preserve">__________      ____________                    </w:t>
      </w:r>
    </w:p>
    <w:p w:rsidR="00993A2E" w:rsidRPr="00740DFB" w:rsidRDefault="00993A2E" w:rsidP="009460A2">
      <w:pPr>
        <w:rPr>
          <w:rFonts w:ascii="Arial Narrow" w:hAnsi="Arial Narrow" w:cs="Segoe UI"/>
          <w:sz w:val="16"/>
          <w:szCs w:val="16"/>
        </w:rPr>
      </w:pPr>
    </w:p>
    <w:p w:rsidR="00993A2E" w:rsidRPr="00740DFB" w:rsidRDefault="00993A2E" w:rsidP="009460A2">
      <w:pPr>
        <w:rPr>
          <w:rFonts w:ascii="Arial Narrow" w:hAnsi="Arial Narrow" w:cs="Segoe UI"/>
          <w:b/>
          <w:color w:val="FF0000"/>
          <w:sz w:val="16"/>
          <w:szCs w:val="16"/>
        </w:rPr>
      </w:pPr>
      <w:r w:rsidRPr="00740DFB">
        <w:rPr>
          <w:rFonts w:ascii="Arial Narrow" w:hAnsi="Arial Narrow" w:cs="Segoe UI"/>
          <w:b/>
          <w:color w:val="FF0000"/>
          <w:sz w:val="16"/>
          <w:szCs w:val="16"/>
        </w:rPr>
        <w:t>Option 3</w:t>
      </w:r>
    </w:p>
    <w:p w:rsidR="00993A2E" w:rsidRPr="00740DFB" w:rsidRDefault="00993A2E" w:rsidP="009460A2">
      <w:pPr>
        <w:rPr>
          <w:rFonts w:ascii="Arial Narrow" w:hAnsi="Arial Narrow" w:cs="Segoe UI"/>
          <w:color w:val="FF0000"/>
          <w:sz w:val="16"/>
          <w:szCs w:val="16"/>
        </w:rPr>
      </w:pPr>
    </w:p>
    <w:p w:rsidR="00740DFB" w:rsidRPr="00740DFB" w:rsidRDefault="00740DFB" w:rsidP="009460A2">
      <w:pPr>
        <w:rPr>
          <w:rFonts w:ascii="Arial Narrow" w:hAnsi="Arial Narrow" w:cs="Segoe UI"/>
          <w:color w:val="FF0000"/>
          <w:sz w:val="16"/>
          <w:szCs w:val="16"/>
        </w:rPr>
      </w:pPr>
      <w:r w:rsidRPr="00740DFB">
        <w:rPr>
          <w:rFonts w:ascii="Arial Narrow" w:hAnsi="Arial Narrow" w:cs="Segoe UI"/>
          <w:b/>
          <w:color w:val="FF0000"/>
          <w:sz w:val="16"/>
          <w:szCs w:val="16"/>
          <w:u w:val="single"/>
        </w:rPr>
        <w:t xml:space="preserve">  Oracle Fusion Middleware</w:t>
      </w:r>
      <w:r w:rsidRPr="00740DFB">
        <w:rPr>
          <w:rFonts w:ascii="Arial Narrow" w:hAnsi="Arial Narrow" w:cs="Segoe UI"/>
          <w:b/>
          <w:color w:val="FF0000"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color w:val="FF0000"/>
          <w:sz w:val="16"/>
          <w:szCs w:val="16"/>
          <w:u w:val="single"/>
        </w:rPr>
        <w:tab/>
      </w:r>
      <w:r w:rsidRPr="00740DFB">
        <w:rPr>
          <w:rFonts w:ascii="Arial Narrow" w:hAnsi="Arial Narrow" w:cs="Segoe UI"/>
          <w:b/>
          <w:color w:val="FF0000"/>
          <w:sz w:val="16"/>
          <w:szCs w:val="16"/>
          <w:u w:val="single"/>
        </w:rPr>
        <w:tab/>
      </w:r>
    </w:p>
    <w:p w:rsidR="00740DFB" w:rsidRPr="00740DFB" w:rsidRDefault="00740DFB" w:rsidP="00993A2E">
      <w:pPr>
        <w:rPr>
          <w:rFonts w:ascii="Arial Narrow" w:hAnsi="Arial Narrow" w:cs="Segoe UI"/>
          <w:color w:val="FF0000"/>
          <w:sz w:val="16"/>
          <w:szCs w:val="16"/>
          <w:u w:val="single"/>
        </w:rPr>
      </w:pPr>
    </w:p>
    <w:p w:rsidR="00993A2E" w:rsidRPr="00740DFB" w:rsidRDefault="00993A2E" w:rsidP="00993A2E">
      <w:pPr>
        <w:rPr>
          <w:rFonts w:ascii="Arial Narrow" w:hAnsi="Arial Narrow" w:cs="Segoe UI"/>
          <w:color w:val="FF0000"/>
          <w:sz w:val="16"/>
          <w:szCs w:val="16"/>
        </w:rPr>
      </w:pPr>
      <w:r w:rsidRPr="00822BBB">
        <w:rPr>
          <w:rFonts w:ascii="Arial Narrow" w:hAnsi="Arial Narrow" w:cs="Segoe UI"/>
          <w:color w:val="FF0000"/>
          <w:sz w:val="16"/>
          <w:szCs w:val="16"/>
          <w:u w:val="single"/>
        </w:rPr>
        <w:t>QTY</w:t>
      </w:r>
      <w:r w:rsidRPr="00822BBB">
        <w:rPr>
          <w:rFonts w:ascii="Arial Narrow" w:hAnsi="Arial Narrow" w:cs="Segoe UI"/>
          <w:color w:val="FF0000"/>
          <w:sz w:val="16"/>
          <w:szCs w:val="16"/>
        </w:rPr>
        <w:tab/>
        <w:t xml:space="preserve">  </w:t>
      </w:r>
      <w:r w:rsidRPr="00822BBB">
        <w:rPr>
          <w:rFonts w:ascii="Arial Narrow" w:hAnsi="Arial Narrow" w:cs="Segoe UI"/>
          <w:color w:val="FF0000"/>
          <w:sz w:val="16"/>
          <w:szCs w:val="16"/>
          <w:u w:val="single"/>
        </w:rPr>
        <w:t>Description &amp; Item Number</w:t>
      </w:r>
      <w:r w:rsidR="00740DFB" w:rsidRPr="00822BBB">
        <w:rPr>
          <w:rFonts w:ascii="Arial Narrow" w:hAnsi="Arial Narrow" w:cs="Segoe UI"/>
          <w:color w:val="FF0000"/>
          <w:sz w:val="16"/>
          <w:szCs w:val="16"/>
          <w:u w:val="single"/>
        </w:rPr>
        <w:t xml:space="preserve"> </w:t>
      </w:r>
      <w:r w:rsidR="00740DFB" w:rsidRPr="00740DFB">
        <w:rPr>
          <w:rFonts w:ascii="Arial Narrow" w:hAnsi="Arial Narrow" w:cs="Segoe UI"/>
          <w:color w:val="FF0000"/>
          <w:sz w:val="16"/>
          <w:szCs w:val="16"/>
        </w:rPr>
        <w:t xml:space="preserve">                                                                   ___________     ____________</w:t>
      </w:r>
    </w:p>
    <w:p w:rsidR="00993A2E" w:rsidRPr="00740DFB" w:rsidRDefault="00993A2E" w:rsidP="009460A2">
      <w:pPr>
        <w:rPr>
          <w:rFonts w:ascii="Arial Narrow" w:hAnsi="Arial Narrow" w:cs="Segoe UI"/>
          <w:color w:val="FF0000"/>
          <w:sz w:val="16"/>
          <w:szCs w:val="16"/>
        </w:rPr>
      </w:pPr>
    </w:p>
    <w:p w:rsidR="00993A2E" w:rsidRPr="00740DFB" w:rsidRDefault="00993A2E" w:rsidP="009460A2">
      <w:pPr>
        <w:rPr>
          <w:rFonts w:ascii="Arial Narrow" w:hAnsi="Arial Narrow" w:cs="Segoe UI"/>
          <w:color w:val="FF0000"/>
          <w:sz w:val="16"/>
          <w:szCs w:val="16"/>
        </w:rPr>
      </w:pPr>
      <w:r w:rsidRPr="00740DFB">
        <w:rPr>
          <w:rFonts w:ascii="Arial Narrow" w:hAnsi="Arial Narrow" w:cs="Segoe UI"/>
          <w:color w:val="FF0000"/>
          <w:sz w:val="16"/>
          <w:szCs w:val="16"/>
        </w:rPr>
        <w:t xml:space="preserve">1               </w:t>
      </w:r>
      <w:r w:rsidR="00822BBB">
        <w:rPr>
          <w:rFonts w:ascii="Arial Narrow" w:hAnsi="Arial Narrow" w:cs="Segoe UI"/>
          <w:color w:val="FF0000"/>
          <w:sz w:val="16"/>
          <w:szCs w:val="16"/>
        </w:rPr>
        <w:t xml:space="preserve">    </w:t>
      </w:r>
      <w:r w:rsidRPr="00740DFB">
        <w:rPr>
          <w:rFonts w:ascii="Arial Narrow" w:hAnsi="Arial Narrow" w:cs="Segoe UI"/>
          <w:color w:val="FF0000"/>
          <w:sz w:val="16"/>
          <w:szCs w:val="16"/>
        </w:rPr>
        <w:t>GVSU Site license for “Internet Application Server Enterprise Edition”</w:t>
      </w:r>
    </w:p>
    <w:p w:rsidR="009460A2" w:rsidRPr="00740DFB" w:rsidRDefault="009460A2" w:rsidP="00993A2E">
      <w:pPr>
        <w:rPr>
          <w:rFonts w:ascii="Arial Narrow" w:hAnsi="Arial Narrow" w:cs="Segoe UI"/>
          <w:color w:val="FF0000"/>
          <w:sz w:val="16"/>
          <w:szCs w:val="16"/>
        </w:rPr>
      </w:pPr>
    </w:p>
    <w:p w:rsidR="00740DFB" w:rsidRPr="00740DFB" w:rsidRDefault="00740DFB" w:rsidP="00740DFB">
      <w:pPr>
        <w:rPr>
          <w:rFonts w:ascii="Arial Narrow" w:hAnsi="Arial Narrow" w:cs="Segoe UI"/>
          <w:color w:val="FF0000"/>
          <w:sz w:val="16"/>
          <w:szCs w:val="16"/>
        </w:rPr>
      </w:pPr>
      <w:r w:rsidRPr="00740DFB">
        <w:rPr>
          <w:rFonts w:ascii="Arial Narrow" w:hAnsi="Arial Narrow" w:cs="Segoe UI"/>
          <w:b/>
          <w:sz w:val="16"/>
          <w:szCs w:val="16"/>
        </w:rPr>
        <w:t xml:space="preserve">Additional Notes: </w:t>
      </w:r>
      <w:r w:rsidRPr="00740DFB">
        <w:rPr>
          <w:rFonts w:ascii="Arial Narrow" w:hAnsi="Arial Narrow" w:cs="Segoe UI"/>
          <w:color w:val="FF0000"/>
          <w:sz w:val="16"/>
          <w:szCs w:val="16"/>
        </w:rPr>
        <w:t>In addition to the included 7 existing OFM Licenses that are mentioned in Options 1 and 2, we currently have a contract with Ellucian for an existing 12 OFM Licenses until 2024</w:t>
      </w:r>
      <w:r w:rsidR="00822BBB">
        <w:rPr>
          <w:rFonts w:ascii="Arial Narrow" w:hAnsi="Arial Narrow" w:cs="Segoe UI"/>
          <w:color w:val="FF0000"/>
          <w:sz w:val="16"/>
          <w:szCs w:val="16"/>
        </w:rPr>
        <w:t xml:space="preserve">. Therefore, </w:t>
      </w:r>
      <w:r w:rsidRPr="00740DFB">
        <w:rPr>
          <w:rFonts w:ascii="Arial Narrow" w:hAnsi="Arial Narrow" w:cs="Segoe UI"/>
          <w:color w:val="FF0000"/>
          <w:sz w:val="16"/>
          <w:szCs w:val="16"/>
        </w:rPr>
        <w:t>any effort to provide a quote for a site license that provides a credit for these, w</w:t>
      </w:r>
      <w:r w:rsidR="00822BBB">
        <w:rPr>
          <w:rFonts w:ascii="Arial Narrow" w:hAnsi="Arial Narrow" w:cs="Segoe UI"/>
          <w:color w:val="FF0000"/>
          <w:sz w:val="16"/>
          <w:szCs w:val="16"/>
        </w:rPr>
        <w:t>ould need</w:t>
      </w:r>
      <w:r w:rsidRPr="00740DFB">
        <w:rPr>
          <w:rFonts w:ascii="Arial Narrow" w:hAnsi="Arial Narrow" w:cs="Segoe UI"/>
          <w:color w:val="FF0000"/>
          <w:sz w:val="16"/>
          <w:szCs w:val="16"/>
        </w:rPr>
        <w:t xml:space="preserve"> to be coordinated with Ellucian and Oracle.</w:t>
      </w:r>
    </w:p>
    <w:p w:rsidR="009460A2" w:rsidRDefault="009460A2" w:rsidP="00460998">
      <w:pPr>
        <w:rPr>
          <w:rFonts w:ascii="Arial Narrow" w:hAnsi="Arial Narrow" w:cs="Segoe UI"/>
          <w:sz w:val="16"/>
          <w:szCs w:val="16"/>
        </w:rPr>
      </w:pPr>
    </w:p>
    <w:p w:rsidR="00740DFB" w:rsidRPr="00740DFB" w:rsidRDefault="00740DFB" w:rsidP="00460998">
      <w:pPr>
        <w:rPr>
          <w:rFonts w:ascii="Arial Narrow" w:hAnsi="Arial Narrow" w:cs="Segoe UI"/>
          <w:sz w:val="16"/>
          <w:szCs w:val="16"/>
        </w:rPr>
      </w:pPr>
    </w:p>
    <w:p w:rsidR="00460998" w:rsidRPr="00740DFB" w:rsidRDefault="00B13FC7">
      <w:pPr>
        <w:rPr>
          <w:rFonts w:ascii="Arial Narrow" w:hAnsi="Arial Narrow"/>
          <w:sz w:val="16"/>
          <w:szCs w:val="16"/>
        </w:rPr>
      </w:pPr>
      <w:r w:rsidRPr="00740DFB">
        <w:rPr>
          <w:rFonts w:ascii="Arial Narrow" w:hAnsi="Arial Narrow"/>
          <w:sz w:val="16"/>
          <w:szCs w:val="16"/>
        </w:rPr>
        <w:t xml:space="preserve">Bid Opening: </w:t>
      </w:r>
      <w:r w:rsidR="009460A2" w:rsidRPr="00740DFB">
        <w:rPr>
          <w:rFonts w:ascii="Arial Narrow" w:hAnsi="Arial Narrow"/>
          <w:sz w:val="16"/>
          <w:szCs w:val="16"/>
        </w:rPr>
        <w:t>Monday, January 16, 2017</w:t>
      </w:r>
      <w:r w:rsidRPr="00740DFB">
        <w:rPr>
          <w:rFonts w:ascii="Arial Narrow" w:hAnsi="Arial Narrow"/>
          <w:sz w:val="16"/>
          <w:szCs w:val="16"/>
        </w:rPr>
        <w:t xml:space="preserve"> @ </w:t>
      </w:r>
      <w:r w:rsidR="003A612E" w:rsidRPr="00740DFB">
        <w:rPr>
          <w:rFonts w:ascii="Arial Narrow" w:hAnsi="Arial Narrow"/>
          <w:sz w:val="16"/>
          <w:szCs w:val="16"/>
        </w:rPr>
        <w:t>10</w:t>
      </w:r>
      <w:r w:rsidRPr="00740DFB">
        <w:rPr>
          <w:rFonts w:ascii="Arial Narrow" w:hAnsi="Arial Narrow"/>
          <w:sz w:val="16"/>
          <w:szCs w:val="16"/>
        </w:rPr>
        <w:t xml:space="preserve">:00 </w:t>
      </w:r>
      <w:r w:rsidR="003A612E" w:rsidRPr="00740DFB">
        <w:rPr>
          <w:rFonts w:ascii="Arial Narrow" w:hAnsi="Arial Narrow"/>
          <w:sz w:val="16"/>
          <w:szCs w:val="16"/>
        </w:rPr>
        <w:t>A</w:t>
      </w:r>
      <w:r w:rsidR="00055C55" w:rsidRPr="00740DFB">
        <w:rPr>
          <w:rFonts w:ascii="Arial Narrow" w:hAnsi="Arial Narrow"/>
          <w:sz w:val="16"/>
          <w:szCs w:val="16"/>
        </w:rPr>
        <w:t>M</w:t>
      </w:r>
    </w:p>
    <w:p w:rsidR="00460998" w:rsidRPr="00740DFB" w:rsidRDefault="00460998">
      <w:pPr>
        <w:rPr>
          <w:sz w:val="16"/>
          <w:szCs w:val="16"/>
        </w:rPr>
      </w:pPr>
    </w:p>
    <w:p w:rsidR="00460998" w:rsidRPr="00740DFB" w:rsidRDefault="00460998">
      <w:pPr>
        <w:rPr>
          <w:sz w:val="16"/>
          <w:szCs w:val="16"/>
        </w:rPr>
      </w:pPr>
    </w:p>
    <w:p w:rsidR="00460998" w:rsidRPr="00740DFB" w:rsidRDefault="00460998" w:rsidP="00460998">
      <w:pPr>
        <w:rPr>
          <w:rFonts w:ascii="Arial Narrow" w:hAnsi="Arial Narrow"/>
          <w:sz w:val="16"/>
          <w:szCs w:val="16"/>
        </w:rPr>
      </w:pPr>
      <w:r w:rsidRPr="00740DFB">
        <w:rPr>
          <w:rFonts w:ascii="Arial Narrow" w:hAnsi="Arial Narrow"/>
          <w:sz w:val="16"/>
          <w:szCs w:val="16"/>
        </w:rPr>
        <w:t>Thank you for your participation,</w:t>
      </w:r>
    </w:p>
    <w:p w:rsidR="00460998" w:rsidRPr="00740DFB" w:rsidRDefault="00460998" w:rsidP="00460998">
      <w:pPr>
        <w:rPr>
          <w:rFonts w:ascii="Arial Narrow" w:hAnsi="Arial Narrow"/>
          <w:sz w:val="16"/>
          <w:szCs w:val="16"/>
        </w:rPr>
      </w:pPr>
    </w:p>
    <w:p w:rsidR="00460998" w:rsidRPr="00740DFB" w:rsidRDefault="00460998" w:rsidP="00460998">
      <w:pPr>
        <w:rPr>
          <w:rFonts w:ascii="Arial Narrow" w:hAnsi="Arial Narrow"/>
          <w:sz w:val="16"/>
          <w:szCs w:val="16"/>
        </w:rPr>
      </w:pPr>
    </w:p>
    <w:p w:rsidR="00460998" w:rsidRPr="00740DFB" w:rsidRDefault="00460998" w:rsidP="00460998">
      <w:pPr>
        <w:rPr>
          <w:rFonts w:ascii="Arial Narrow" w:hAnsi="Arial Narrow"/>
          <w:sz w:val="16"/>
          <w:szCs w:val="16"/>
        </w:rPr>
      </w:pPr>
      <w:r w:rsidRPr="00740DFB">
        <w:rPr>
          <w:rFonts w:ascii="Arial Narrow" w:hAnsi="Arial Narrow"/>
          <w:sz w:val="16"/>
          <w:szCs w:val="16"/>
        </w:rPr>
        <w:t>Valerie Rhodes-Sorrelle, C.P.M.</w:t>
      </w:r>
    </w:p>
    <w:p w:rsidR="003A612E" w:rsidRPr="00740DFB" w:rsidRDefault="00460998" w:rsidP="003A612E">
      <w:pPr>
        <w:rPr>
          <w:rFonts w:ascii="Arial Narrow" w:hAnsi="Arial Narrow"/>
          <w:sz w:val="16"/>
          <w:szCs w:val="16"/>
        </w:rPr>
      </w:pPr>
      <w:r w:rsidRPr="00740DFB">
        <w:rPr>
          <w:rFonts w:ascii="Arial Narrow" w:hAnsi="Arial Narrow"/>
          <w:sz w:val="16"/>
          <w:szCs w:val="16"/>
        </w:rPr>
        <w:t>Sr. Strategic Sourcing Specialist</w:t>
      </w:r>
    </w:p>
    <w:p w:rsidR="002147E2" w:rsidRPr="00740DFB" w:rsidRDefault="002147E2" w:rsidP="003A612E">
      <w:pPr>
        <w:rPr>
          <w:rFonts w:ascii="Arial Narrow" w:hAnsi="Arial Narrow"/>
          <w:sz w:val="16"/>
          <w:szCs w:val="16"/>
        </w:rPr>
      </w:pPr>
    </w:p>
    <w:p w:rsidR="003A612E" w:rsidRPr="00740DFB" w:rsidRDefault="003A612E" w:rsidP="003A612E">
      <w:pPr>
        <w:jc w:val="center"/>
        <w:rPr>
          <w:rFonts w:ascii="Arial Narrow" w:hAnsi="Arial Narrow"/>
          <w:b/>
          <w:i/>
          <w:sz w:val="12"/>
          <w:szCs w:val="12"/>
        </w:rPr>
      </w:pPr>
      <w:r w:rsidRPr="00740DFB">
        <w:rPr>
          <w:rFonts w:ascii="Arial Narrow" w:hAnsi="Arial Narrow"/>
          <w:b/>
          <w:i/>
          <w:sz w:val="12"/>
          <w:szCs w:val="12"/>
        </w:rPr>
        <w:t>Procurement Services - 2033 Zumberge Hall - Allendale, MI  49401</w:t>
      </w:r>
    </w:p>
    <w:p w:rsidR="003A612E" w:rsidRPr="00740DFB" w:rsidRDefault="003A612E" w:rsidP="009365BE">
      <w:pPr>
        <w:jc w:val="center"/>
        <w:rPr>
          <w:rFonts w:ascii="Arial Narrow" w:hAnsi="Arial Narrow"/>
          <w:sz w:val="12"/>
          <w:szCs w:val="12"/>
        </w:rPr>
      </w:pPr>
      <w:r w:rsidRPr="00740DFB">
        <w:rPr>
          <w:rFonts w:ascii="Arial Narrow" w:hAnsi="Arial Narrow"/>
          <w:b/>
          <w:i/>
          <w:sz w:val="12"/>
          <w:szCs w:val="12"/>
        </w:rPr>
        <w:t>Phone – 616/331-2283 – Fax 616/331-3287</w:t>
      </w:r>
    </w:p>
    <w:sectPr w:rsidR="003A612E" w:rsidRPr="00740DFB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50359"/>
    <w:rsid w:val="00055C55"/>
    <w:rsid w:val="00113FE9"/>
    <w:rsid w:val="001B1FA8"/>
    <w:rsid w:val="002147E2"/>
    <w:rsid w:val="00246972"/>
    <w:rsid w:val="002C2E0E"/>
    <w:rsid w:val="0033444E"/>
    <w:rsid w:val="003A612E"/>
    <w:rsid w:val="00456765"/>
    <w:rsid w:val="00460998"/>
    <w:rsid w:val="0060620B"/>
    <w:rsid w:val="00740DFB"/>
    <w:rsid w:val="00767AB2"/>
    <w:rsid w:val="007D52D6"/>
    <w:rsid w:val="007E66EE"/>
    <w:rsid w:val="00822BBB"/>
    <w:rsid w:val="009365BE"/>
    <w:rsid w:val="009460A2"/>
    <w:rsid w:val="00993A2E"/>
    <w:rsid w:val="00A961F3"/>
    <w:rsid w:val="00AD1061"/>
    <w:rsid w:val="00B13FC7"/>
    <w:rsid w:val="00B64CD0"/>
    <w:rsid w:val="00B82953"/>
    <w:rsid w:val="00C54D25"/>
    <w:rsid w:val="00C67FB0"/>
    <w:rsid w:val="00D3561D"/>
    <w:rsid w:val="00DA2641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2016-12-15T14:58:00Z</cp:lastPrinted>
  <dcterms:created xsi:type="dcterms:W3CDTF">2016-12-15T15:26:00Z</dcterms:created>
  <dcterms:modified xsi:type="dcterms:W3CDTF">2016-12-15T15:26:00Z</dcterms:modified>
</cp:coreProperties>
</file>